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62A0" w14:textId="1581DA7C" w:rsidR="00EF0701" w:rsidRPr="000404EE" w:rsidRDefault="00EF0701" w:rsidP="00EF0701">
      <w:pPr>
        <w:pStyle w:val="Default"/>
        <w:tabs>
          <w:tab w:val="left" w:pos="6577"/>
          <w:tab w:val="left" w:pos="13157"/>
        </w:tabs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Membership year:  September 1, 2</w:t>
      </w:r>
      <w:r w:rsidR="00F539C3">
        <w:rPr>
          <w:b/>
          <w:bCs/>
          <w:sz w:val="20"/>
          <w:szCs w:val="20"/>
        </w:rPr>
        <w:t>020</w:t>
      </w:r>
      <w:r>
        <w:rPr>
          <w:b/>
          <w:bCs/>
          <w:sz w:val="20"/>
          <w:szCs w:val="20"/>
        </w:rPr>
        <w:t xml:space="preserve"> through August 31, 202</w:t>
      </w:r>
      <w:r w:rsidR="00F539C3">
        <w:rPr>
          <w:b/>
          <w:bCs/>
          <w:sz w:val="20"/>
          <w:szCs w:val="20"/>
        </w:rPr>
        <w:t>1</w:t>
      </w:r>
      <w:r w:rsidRPr="000404EE">
        <w:rPr>
          <w:b/>
          <w:bCs/>
          <w:sz w:val="20"/>
          <w:szCs w:val="20"/>
        </w:rPr>
        <w:t xml:space="preserve"> </w:t>
      </w:r>
    </w:p>
    <w:p w14:paraId="450255E9" w14:textId="77777777" w:rsidR="00EF0701" w:rsidRPr="000404EE" w:rsidRDefault="00EF0701" w:rsidP="00EF0701">
      <w:pPr>
        <w:pStyle w:val="Default"/>
        <w:tabs>
          <w:tab w:val="left" w:pos="13157"/>
          <w:tab w:val="left" w:pos="22416"/>
        </w:tabs>
        <w:rPr>
          <w:b/>
          <w:bCs/>
          <w:sz w:val="20"/>
          <w:szCs w:val="20"/>
        </w:rPr>
      </w:pPr>
    </w:p>
    <w:p w14:paraId="05A6B7EB" w14:textId="0055849D" w:rsidR="00EF0701" w:rsidRDefault="00B6334B" w:rsidP="00EF0701">
      <w:pPr>
        <w:pStyle w:val="Default"/>
        <w:tabs>
          <w:tab w:val="left" w:pos="12420"/>
          <w:tab w:val="left" w:pos="22416"/>
        </w:tabs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20</w:t>
      </w:r>
      <w:r w:rsidR="00F539C3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-2</w:t>
      </w:r>
      <w:r w:rsidR="00F539C3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</w:t>
      </w:r>
      <w:r w:rsidR="00EF0701" w:rsidRPr="00CE43A5">
        <w:rPr>
          <w:b/>
          <w:bCs/>
          <w:sz w:val="28"/>
          <w:szCs w:val="28"/>
          <w:u w:val="single"/>
        </w:rPr>
        <w:t>MEMBERSHIP RATES</w:t>
      </w:r>
      <w:r w:rsidR="00EF0701" w:rsidRPr="00CE43A5">
        <w:rPr>
          <w:sz w:val="28"/>
          <w:szCs w:val="28"/>
        </w:rPr>
        <w:t>:</w:t>
      </w:r>
    </w:p>
    <w:p w14:paraId="67EA77E7" w14:textId="77777777" w:rsidR="00EF0701" w:rsidRDefault="00EF0701" w:rsidP="00EF0701">
      <w:pPr>
        <w:pStyle w:val="Default"/>
        <w:tabs>
          <w:tab w:val="left" w:pos="12420"/>
          <w:tab w:val="left" w:pos="22416"/>
        </w:tabs>
        <w:outlineLvl w:val="0"/>
        <w:rPr>
          <w:sz w:val="28"/>
          <w:szCs w:val="28"/>
        </w:rPr>
      </w:pPr>
    </w:p>
    <w:p w14:paraId="044068E8" w14:textId="6BCD1B67" w:rsidR="00EF0701" w:rsidRDefault="00EF0701" w:rsidP="00EF0701">
      <w:pPr>
        <w:pStyle w:val="Default"/>
        <w:tabs>
          <w:tab w:val="left" w:pos="12420"/>
          <w:tab w:val="left" w:pos="22416"/>
        </w:tabs>
        <w:outlineLvl w:val="0"/>
        <w:rPr>
          <w:sz w:val="20"/>
          <w:szCs w:val="20"/>
        </w:rPr>
      </w:pPr>
      <w:r w:rsidRPr="00074147">
        <w:rPr>
          <w:b/>
          <w:color w:val="2E74B5" w:themeColor="accent5" w:themeShade="BF"/>
          <w:sz w:val="20"/>
          <w:szCs w:val="20"/>
        </w:rPr>
        <w:t>Dues Deductions</w:t>
      </w:r>
      <w:r>
        <w:rPr>
          <w:sz w:val="20"/>
          <w:szCs w:val="20"/>
        </w:rPr>
        <w:t>: Membership dues are assessed when</w:t>
      </w:r>
      <w:r w:rsidRPr="00537872">
        <w:rPr>
          <w:sz w:val="20"/>
          <w:szCs w:val="20"/>
        </w:rPr>
        <w:t xml:space="preserve"> I</w:t>
      </w:r>
      <w:r w:rsidR="00203CA2">
        <w:rPr>
          <w:sz w:val="20"/>
          <w:szCs w:val="20"/>
        </w:rPr>
        <w:t>ntermediate District</w:t>
      </w:r>
      <w:r w:rsidRPr="00537872">
        <w:rPr>
          <w:sz w:val="20"/>
          <w:szCs w:val="20"/>
        </w:rPr>
        <w:t xml:space="preserve"> 287 Payroll receives a copy of 2209 Members authorization card</w:t>
      </w:r>
      <w:r>
        <w:rPr>
          <w:sz w:val="20"/>
          <w:szCs w:val="20"/>
        </w:rPr>
        <w:t xml:space="preserve"> - (payroll copy of </w:t>
      </w:r>
      <w:r w:rsidRPr="00537872">
        <w:rPr>
          <w:sz w:val="20"/>
          <w:szCs w:val="20"/>
        </w:rPr>
        <w:t>application</w:t>
      </w:r>
      <w:r w:rsidR="00203CA2">
        <w:rPr>
          <w:sz w:val="20"/>
          <w:szCs w:val="20"/>
        </w:rPr>
        <w:t>)</w:t>
      </w:r>
      <w:r w:rsidRPr="00537872">
        <w:rPr>
          <w:sz w:val="20"/>
          <w:szCs w:val="20"/>
        </w:rPr>
        <w:t xml:space="preserve"> confirming the activation of their me</w:t>
      </w:r>
      <w:r>
        <w:rPr>
          <w:sz w:val="20"/>
          <w:szCs w:val="20"/>
        </w:rPr>
        <w:t>mbership.</w:t>
      </w:r>
      <w:r w:rsidR="00B6334B">
        <w:rPr>
          <w:sz w:val="20"/>
          <w:szCs w:val="20"/>
        </w:rPr>
        <w:t xml:space="preserve"> The annual d</w:t>
      </w:r>
      <w:r>
        <w:rPr>
          <w:sz w:val="20"/>
          <w:szCs w:val="20"/>
        </w:rPr>
        <w:t>ues</w:t>
      </w:r>
      <w:r w:rsidRPr="00537872">
        <w:rPr>
          <w:sz w:val="20"/>
          <w:szCs w:val="20"/>
        </w:rPr>
        <w:t xml:space="preserve"> </w:t>
      </w:r>
      <w:r w:rsidR="00B6334B">
        <w:rPr>
          <w:sz w:val="20"/>
          <w:szCs w:val="20"/>
        </w:rPr>
        <w:t xml:space="preserve">amount </w:t>
      </w:r>
      <w:r w:rsidR="00203CA2">
        <w:rPr>
          <w:sz w:val="20"/>
          <w:szCs w:val="20"/>
        </w:rPr>
        <w:t>is</w:t>
      </w:r>
      <w:r>
        <w:rPr>
          <w:sz w:val="20"/>
          <w:szCs w:val="20"/>
        </w:rPr>
        <w:t xml:space="preserve"> then </w:t>
      </w:r>
      <w:r w:rsidR="00B6334B">
        <w:rPr>
          <w:sz w:val="20"/>
          <w:szCs w:val="20"/>
        </w:rPr>
        <w:t xml:space="preserve">be </w:t>
      </w:r>
      <w:r>
        <w:rPr>
          <w:sz w:val="20"/>
          <w:szCs w:val="20"/>
        </w:rPr>
        <w:t xml:space="preserve">divided and deducted from </w:t>
      </w:r>
      <w:r w:rsidRPr="008D7C4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7 </w:t>
      </w:r>
      <w:r w:rsidRPr="008D7C42">
        <w:rPr>
          <w:b/>
          <w:sz w:val="20"/>
          <w:szCs w:val="20"/>
        </w:rPr>
        <w:t xml:space="preserve">pay periods between </w:t>
      </w:r>
      <w:r>
        <w:rPr>
          <w:b/>
          <w:sz w:val="20"/>
          <w:szCs w:val="20"/>
        </w:rPr>
        <w:t>October 1st</w:t>
      </w:r>
      <w:r w:rsidRPr="008D7C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 June 15</w:t>
      </w:r>
      <w:r w:rsidRPr="00EF070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(Note: Dues are not collected during the Summer months)</w:t>
      </w:r>
      <w:r w:rsidRPr="00537872">
        <w:rPr>
          <w:sz w:val="20"/>
          <w:szCs w:val="20"/>
        </w:rPr>
        <w:t xml:space="preserve">.  </w:t>
      </w:r>
      <w:r>
        <w:rPr>
          <w:sz w:val="20"/>
          <w:szCs w:val="20"/>
        </w:rPr>
        <w:t>Member’s per-pay-period (PPP) deduction amounts are determined by their salary, FTE, and member activation date.</w:t>
      </w:r>
    </w:p>
    <w:p w14:paraId="626BA176" w14:textId="2278AE68" w:rsidR="00EF0701" w:rsidRPr="00EF0701" w:rsidRDefault="00EF0701" w:rsidP="00EF0701">
      <w:pPr>
        <w:pStyle w:val="Default"/>
        <w:tabs>
          <w:tab w:val="left" w:pos="12420"/>
          <w:tab w:val="left" w:pos="22416"/>
        </w:tabs>
        <w:outlineLvl w:val="0"/>
        <w:rPr>
          <w:sz w:val="20"/>
          <w:szCs w:val="20"/>
        </w:rPr>
      </w:pPr>
    </w:p>
    <w:p w14:paraId="360541B5" w14:textId="544214FF" w:rsidR="00EF0701" w:rsidRPr="00744C9B" w:rsidRDefault="00EF0701" w:rsidP="00EF0701">
      <w:pPr>
        <w:pStyle w:val="Default"/>
        <w:tabs>
          <w:tab w:val="left" w:pos="4320"/>
          <w:tab w:val="left" w:pos="7380"/>
          <w:tab w:val="left" w:pos="8460"/>
          <w:tab w:val="left" w:pos="9360"/>
          <w:tab w:val="left" w:pos="11520"/>
          <w:tab w:val="left" w:pos="12420"/>
        </w:tabs>
        <w:ind w:right="-1440"/>
        <w:outlineLvl w:val="0"/>
        <w:rPr>
          <w:b/>
          <w:bCs/>
          <w:sz w:val="20"/>
          <w:szCs w:val="20"/>
        </w:rPr>
      </w:pPr>
      <w:r>
        <w:rPr>
          <w:b/>
          <w:bCs/>
          <w:color w:val="2E74B5" w:themeColor="accent5" w:themeShade="BF"/>
          <w:sz w:val="20"/>
          <w:szCs w:val="20"/>
        </w:rPr>
        <w:t>Licensed</w:t>
      </w:r>
      <w:r w:rsidRPr="00074147">
        <w:rPr>
          <w:b/>
          <w:bCs/>
          <w:color w:val="2E74B5" w:themeColor="accent5" w:themeShade="BF"/>
          <w:sz w:val="20"/>
          <w:szCs w:val="20"/>
        </w:rPr>
        <w:t xml:space="preserve"> Member:                                     DUES             NATIONAL</w:t>
      </w:r>
      <w:r w:rsidRPr="00074147">
        <w:rPr>
          <w:color w:val="2E74B5" w:themeColor="accent5" w:themeShade="BF"/>
          <w:sz w:val="20"/>
          <w:szCs w:val="20"/>
        </w:rPr>
        <w:t xml:space="preserve">                     </w:t>
      </w:r>
      <w:r w:rsidRPr="00074147">
        <w:rPr>
          <w:b/>
          <w:bCs/>
          <w:color w:val="2E74B5" w:themeColor="accent5" w:themeShade="BF"/>
          <w:sz w:val="20"/>
          <w:szCs w:val="20"/>
        </w:rPr>
        <w:t>STATE</w:t>
      </w:r>
      <w:r w:rsidRPr="00074147">
        <w:rPr>
          <w:b/>
          <w:bCs/>
          <w:color w:val="2E74B5" w:themeColor="accent5" w:themeShade="BF"/>
          <w:sz w:val="20"/>
          <w:szCs w:val="20"/>
        </w:rPr>
        <w:tab/>
        <w:t>LOCAL</w:t>
      </w:r>
      <w:r w:rsidRPr="00074147">
        <w:rPr>
          <w:b/>
          <w:bCs/>
          <w:color w:val="2E74B5" w:themeColor="accent5" w:themeShade="BF"/>
          <w:sz w:val="20"/>
          <w:szCs w:val="20"/>
        </w:rPr>
        <w:tab/>
        <w:t xml:space="preserve"> </w:t>
      </w:r>
      <w:r w:rsidR="00266BFC">
        <w:rPr>
          <w:b/>
          <w:bCs/>
          <w:color w:val="2E74B5" w:themeColor="accent5" w:themeShade="BF"/>
          <w:sz w:val="20"/>
          <w:szCs w:val="20"/>
        </w:rPr>
        <w:t xml:space="preserve">  </w:t>
      </w:r>
      <w:r w:rsidRPr="00074147">
        <w:rPr>
          <w:b/>
          <w:bCs/>
          <w:color w:val="2E74B5" w:themeColor="accent5" w:themeShade="BF"/>
          <w:sz w:val="20"/>
          <w:szCs w:val="20"/>
        </w:rPr>
        <w:t>YEARLY TOTAL</w:t>
      </w:r>
      <w:proofErr w:type="gramStart"/>
      <w:r w:rsidRPr="00744C9B">
        <w:rPr>
          <w:b/>
          <w:bCs/>
          <w:sz w:val="20"/>
          <w:szCs w:val="20"/>
        </w:rPr>
        <w:t xml:space="preserve"> </w:t>
      </w:r>
      <w:r w:rsidR="00E33120">
        <w:rPr>
          <w:b/>
          <w:bCs/>
          <w:sz w:val="20"/>
          <w:szCs w:val="20"/>
        </w:rPr>
        <w:t xml:space="preserve">  </w:t>
      </w:r>
      <w:r w:rsidR="00B6334B">
        <w:rPr>
          <w:b/>
          <w:bCs/>
          <w:sz w:val="20"/>
          <w:szCs w:val="20"/>
        </w:rPr>
        <w:t>(</w:t>
      </w:r>
      <w:proofErr w:type="gramEnd"/>
      <w:r w:rsidR="00852DB5">
        <w:rPr>
          <w:b/>
          <w:bCs/>
          <w:sz w:val="20"/>
          <w:szCs w:val="20"/>
        </w:rPr>
        <w:t>P</w:t>
      </w:r>
      <w:r w:rsidR="00E33120">
        <w:rPr>
          <w:b/>
          <w:bCs/>
          <w:sz w:val="20"/>
          <w:szCs w:val="20"/>
        </w:rPr>
        <w:t>er pay period</w:t>
      </w:r>
      <w:r>
        <w:rPr>
          <w:b/>
          <w:bCs/>
          <w:sz w:val="20"/>
          <w:szCs w:val="20"/>
        </w:rPr>
        <w:t>)</w:t>
      </w:r>
    </w:p>
    <w:tbl>
      <w:tblPr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39"/>
        <w:gridCol w:w="1106"/>
        <w:gridCol w:w="1075"/>
        <w:gridCol w:w="1106"/>
        <w:gridCol w:w="1051"/>
        <w:gridCol w:w="1639"/>
        <w:gridCol w:w="1639"/>
      </w:tblGrid>
      <w:tr w:rsidR="00EF0701" w:rsidRPr="00744C9B" w14:paraId="6454A70A" w14:textId="77777777" w:rsidTr="00B6334B">
        <w:trPr>
          <w:trHeight w:val="94"/>
        </w:trPr>
        <w:tc>
          <w:tcPr>
            <w:tcW w:w="3888" w:type="dxa"/>
          </w:tcPr>
          <w:p w14:paraId="02B683CA" w14:textId="68F191C4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 Full Time </w:t>
            </w:r>
            <w:r>
              <w:rPr>
                <w:sz w:val="20"/>
                <w:szCs w:val="20"/>
              </w:rPr>
              <w:t>greater than 9</w:t>
            </w:r>
            <w:r w:rsidR="000D58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– 100</w:t>
            </w:r>
            <w:r w:rsidRPr="00744C9B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239" w:type="dxa"/>
          </w:tcPr>
          <w:p w14:paraId="2EEA975A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 xml:space="preserve">1-100 </w:t>
            </w:r>
          </w:p>
        </w:tc>
        <w:tc>
          <w:tcPr>
            <w:tcW w:w="1106" w:type="dxa"/>
          </w:tcPr>
          <w:p w14:paraId="78BD2FA9" w14:textId="20DBE306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</w:t>
            </w:r>
            <w:r w:rsidR="00852DB5">
              <w:rPr>
                <w:sz w:val="20"/>
                <w:szCs w:val="20"/>
              </w:rPr>
              <w:t>251.1</w:t>
            </w:r>
            <w:r w:rsidRPr="00744C9B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14:paraId="0CDA60AE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 xml:space="preserve">1-100 </w:t>
            </w:r>
          </w:p>
        </w:tc>
        <w:tc>
          <w:tcPr>
            <w:tcW w:w="1106" w:type="dxa"/>
          </w:tcPr>
          <w:p w14:paraId="30BBB779" w14:textId="383C1F8C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27F0C">
              <w:rPr>
                <w:sz w:val="20"/>
                <w:szCs w:val="20"/>
              </w:rPr>
              <w:t>500.00</w:t>
            </w:r>
          </w:p>
        </w:tc>
        <w:tc>
          <w:tcPr>
            <w:tcW w:w="1051" w:type="dxa"/>
          </w:tcPr>
          <w:p w14:paraId="2C7A62A4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$296.32</w:t>
            </w:r>
          </w:p>
        </w:tc>
        <w:tc>
          <w:tcPr>
            <w:tcW w:w="1639" w:type="dxa"/>
          </w:tcPr>
          <w:p w14:paraId="6E270491" w14:textId="28F1F330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$10</w:t>
            </w:r>
            <w:r w:rsidR="00F27F0C">
              <w:rPr>
                <w:b/>
                <w:sz w:val="20"/>
                <w:szCs w:val="20"/>
              </w:rPr>
              <w:t>4</w:t>
            </w:r>
            <w:r w:rsidR="00852DB5">
              <w:rPr>
                <w:b/>
                <w:sz w:val="20"/>
                <w:szCs w:val="20"/>
              </w:rPr>
              <w:t>7.4</w:t>
            </w:r>
            <w:r w:rsidRPr="002607B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639" w:type="dxa"/>
          </w:tcPr>
          <w:p w14:paraId="69E72A75" w14:textId="3BCBD6E1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852DB5">
              <w:rPr>
                <w:b/>
                <w:sz w:val="20"/>
                <w:szCs w:val="20"/>
              </w:rPr>
              <w:t>61.</w:t>
            </w:r>
            <w:r w:rsidR="00B059F6">
              <w:rPr>
                <w:b/>
                <w:sz w:val="20"/>
                <w:szCs w:val="20"/>
              </w:rPr>
              <w:t>61</w:t>
            </w:r>
          </w:p>
        </w:tc>
      </w:tr>
      <w:tr w:rsidR="00EF0701" w:rsidRPr="00744C9B" w14:paraId="6BA4BC67" w14:textId="77777777" w:rsidTr="00B6334B">
        <w:trPr>
          <w:trHeight w:val="94"/>
        </w:trPr>
        <w:tc>
          <w:tcPr>
            <w:tcW w:w="3888" w:type="dxa"/>
          </w:tcPr>
          <w:p w14:paraId="1E9910FD" w14:textId="69366256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greater than 7</w:t>
            </w:r>
            <w:r w:rsidR="000D58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– 90</w:t>
            </w:r>
            <w:r w:rsidRPr="00744C9B">
              <w:rPr>
                <w:sz w:val="20"/>
                <w:szCs w:val="20"/>
              </w:rPr>
              <w:t>%</w:t>
            </w:r>
          </w:p>
        </w:tc>
        <w:tc>
          <w:tcPr>
            <w:tcW w:w="1239" w:type="dxa"/>
          </w:tcPr>
          <w:p w14:paraId="712D7207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 xml:space="preserve">1-100 </w:t>
            </w:r>
          </w:p>
        </w:tc>
        <w:tc>
          <w:tcPr>
            <w:tcW w:w="1106" w:type="dxa"/>
          </w:tcPr>
          <w:p w14:paraId="777C789E" w14:textId="792521F1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$2</w:t>
            </w:r>
            <w:r w:rsidR="00852DB5">
              <w:rPr>
                <w:sz w:val="20"/>
                <w:szCs w:val="20"/>
              </w:rPr>
              <w:t>51.1</w:t>
            </w:r>
            <w:r w:rsidRPr="00744C9B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14:paraId="7D2C2BD2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AC1-90</w:t>
            </w:r>
          </w:p>
        </w:tc>
        <w:tc>
          <w:tcPr>
            <w:tcW w:w="1106" w:type="dxa"/>
          </w:tcPr>
          <w:p w14:paraId="229A232F" w14:textId="12F50E8E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F27F0C">
              <w:rPr>
                <w:sz w:val="20"/>
                <w:szCs w:val="20"/>
              </w:rPr>
              <w:t>53.70</w:t>
            </w:r>
          </w:p>
        </w:tc>
        <w:tc>
          <w:tcPr>
            <w:tcW w:w="1051" w:type="dxa"/>
          </w:tcPr>
          <w:p w14:paraId="0E447A59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$296.32</w:t>
            </w:r>
          </w:p>
        </w:tc>
        <w:tc>
          <w:tcPr>
            <w:tcW w:w="1639" w:type="dxa"/>
          </w:tcPr>
          <w:p w14:paraId="74166B9D" w14:textId="457A079F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</w:t>
            </w:r>
            <w:r w:rsidR="00B059F6">
              <w:rPr>
                <w:b/>
                <w:sz w:val="20"/>
                <w:szCs w:val="20"/>
              </w:rPr>
              <w:t>1001</w:t>
            </w:r>
            <w:r w:rsidR="00852DB5">
              <w:rPr>
                <w:b/>
                <w:sz w:val="20"/>
                <w:szCs w:val="20"/>
              </w:rPr>
              <w:t>.1</w:t>
            </w:r>
            <w:r w:rsidRPr="002607B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639" w:type="dxa"/>
          </w:tcPr>
          <w:p w14:paraId="1B2B6A96" w14:textId="2A3B3839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</w:t>
            </w:r>
            <w:r w:rsidR="00852DB5">
              <w:rPr>
                <w:b/>
                <w:sz w:val="20"/>
                <w:szCs w:val="20"/>
              </w:rPr>
              <w:t>8.</w:t>
            </w:r>
            <w:r w:rsidR="00B059F6">
              <w:rPr>
                <w:b/>
                <w:sz w:val="20"/>
                <w:szCs w:val="20"/>
              </w:rPr>
              <w:t>89</w:t>
            </w:r>
          </w:p>
        </w:tc>
      </w:tr>
      <w:tr w:rsidR="00EF0701" w:rsidRPr="00744C9B" w14:paraId="76788193" w14:textId="77777777" w:rsidTr="00B6334B">
        <w:trPr>
          <w:trHeight w:val="94"/>
        </w:trPr>
        <w:tc>
          <w:tcPr>
            <w:tcW w:w="3888" w:type="dxa"/>
          </w:tcPr>
          <w:p w14:paraId="29DCB94D" w14:textId="6ED6B2FF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greater than 6</w:t>
            </w:r>
            <w:r w:rsidR="00A05A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– 75%</w:t>
            </w:r>
          </w:p>
        </w:tc>
        <w:tc>
          <w:tcPr>
            <w:tcW w:w="1239" w:type="dxa"/>
          </w:tcPr>
          <w:p w14:paraId="13BD7872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AC1-100</w:t>
            </w:r>
          </w:p>
        </w:tc>
        <w:tc>
          <w:tcPr>
            <w:tcW w:w="1106" w:type="dxa"/>
          </w:tcPr>
          <w:p w14:paraId="66C26D1A" w14:textId="219E997A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852DB5">
              <w:rPr>
                <w:sz w:val="20"/>
                <w:szCs w:val="20"/>
              </w:rPr>
              <w:t>51.1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14:paraId="4BE0676B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AC1-75</w:t>
            </w:r>
          </w:p>
        </w:tc>
        <w:tc>
          <w:tcPr>
            <w:tcW w:w="1106" w:type="dxa"/>
          </w:tcPr>
          <w:p w14:paraId="7AEC6010" w14:textId="6555A0FE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27F0C">
              <w:rPr>
                <w:sz w:val="20"/>
                <w:szCs w:val="20"/>
              </w:rPr>
              <w:t>384.25</w:t>
            </w:r>
          </w:p>
        </w:tc>
        <w:tc>
          <w:tcPr>
            <w:tcW w:w="1051" w:type="dxa"/>
          </w:tcPr>
          <w:p w14:paraId="592E511A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$247.45</w:t>
            </w:r>
          </w:p>
        </w:tc>
        <w:tc>
          <w:tcPr>
            <w:tcW w:w="1639" w:type="dxa"/>
          </w:tcPr>
          <w:p w14:paraId="60EA460F" w14:textId="4573F734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$8</w:t>
            </w:r>
            <w:r w:rsidR="00B059F6">
              <w:rPr>
                <w:b/>
                <w:sz w:val="20"/>
                <w:szCs w:val="20"/>
              </w:rPr>
              <w:t>82.86</w:t>
            </w:r>
          </w:p>
        </w:tc>
        <w:tc>
          <w:tcPr>
            <w:tcW w:w="1639" w:type="dxa"/>
          </w:tcPr>
          <w:p w14:paraId="168E91B5" w14:textId="42B73459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B059F6">
              <w:rPr>
                <w:b/>
                <w:sz w:val="20"/>
                <w:szCs w:val="20"/>
              </w:rPr>
              <w:t>51.93</w:t>
            </w:r>
          </w:p>
        </w:tc>
      </w:tr>
      <w:tr w:rsidR="00EF0701" w:rsidRPr="00744C9B" w14:paraId="7442819C" w14:textId="77777777" w:rsidTr="00B6334B">
        <w:trPr>
          <w:trHeight w:val="94"/>
        </w:trPr>
        <w:tc>
          <w:tcPr>
            <w:tcW w:w="3888" w:type="dxa"/>
          </w:tcPr>
          <w:p w14:paraId="080FE6C8" w14:textId="77777777" w:rsidR="00EF0701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greater than 51 – 65%</w:t>
            </w:r>
          </w:p>
        </w:tc>
        <w:tc>
          <w:tcPr>
            <w:tcW w:w="1239" w:type="dxa"/>
          </w:tcPr>
          <w:p w14:paraId="65153C3A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AC1-100</w:t>
            </w:r>
          </w:p>
        </w:tc>
        <w:tc>
          <w:tcPr>
            <w:tcW w:w="1106" w:type="dxa"/>
          </w:tcPr>
          <w:p w14:paraId="7AB47866" w14:textId="42BC7A80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852DB5">
              <w:rPr>
                <w:sz w:val="20"/>
                <w:szCs w:val="20"/>
              </w:rPr>
              <w:t>51.1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14:paraId="787BE081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AC1-65</w:t>
            </w:r>
          </w:p>
        </w:tc>
        <w:tc>
          <w:tcPr>
            <w:tcW w:w="1106" w:type="dxa"/>
          </w:tcPr>
          <w:p w14:paraId="4360B404" w14:textId="33AB51CC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2DB5">
              <w:rPr>
                <w:sz w:val="20"/>
                <w:szCs w:val="20"/>
              </w:rPr>
              <w:t>33</w:t>
            </w:r>
            <w:r w:rsidR="00F27F0C">
              <w:rPr>
                <w:sz w:val="20"/>
                <w:szCs w:val="20"/>
              </w:rPr>
              <w:t>7.95</w:t>
            </w:r>
          </w:p>
        </w:tc>
        <w:tc>
          <w:tcPr>
            <w:tcW w:w="1051" w:type="dxa"/>
          </w:tcPr>
          <w:p w14:paraId="6FE6E0BB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$247.45</w:t>
            </w:r>
          </w:p>
        </w:tc>
        <w:tc>
          <w:tcPr>
            <w:tcW w:w="1639" w:type="dxa"/>
          </w:tcPr>
          <w:p w14:paraId="074859A0" w14:textId="0351A06C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$8</w:t>
            </w:r>
            <w:r w:rsidR="00852DB5">
              <w:rPr>
                <w:b/>
                <w:sz w:val="20"/>
                <w:szCs w:val="20"/>
              </w:rPr>
              <w:t>3</w:t>
            </w:r>
            <w:r w:rsidR="00B059F6"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1639" w:type="dxa"/>
          </w:tcPr>
          <w:p w14:paraId="7DA313FB" w14:textId="403AD4B7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B059F6">
              <w:rPr>
                <w:b/>
                <w:sz w:val="20"/>
                <w:szCs w:val="20"/>
              </w:rPr>
              <w:t>9.21</w:t>
            </w:r>
          </w:p>
        </w:tc>
      </w:tr>
      <w:tr w:rsidR="00EF0701" w:rsidRPr="00744C9B" w14:paraId="548631C2" w14:textId="77777777" w:rsidTr="00B6334B">
        <w:trPr>
          <w:trHeight w:val="94"/>
        </w:trPr>
        <w:tc>
          <w:tcPr>
            <w:tcW w:w="3888" w:type="dxa"/>
          </w:tcPr>
          <w:p w14:paraId="36734093" w14:textId="77777777" w:rsidR="00EF0701" w:rsidRPr="00744C9B" w:rsidRDefault="00EF0701" w:rsidP="00B6334B">
            <w:pPr>
              <w:pStyle w:val="Default"/>
              <w:tabs>
                <w:tab w:val="center" w:pos="1836"/>
              </w:tabs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Teach </w:t>
            </w:r>
            <w:r>
              <w:rPr>
                <w:sz w:val="20"/>
                <w:szCs w:val="20"/>
              </w:rPr>
              <w:t>greater than 41 – 50</w:t>
            </w:r>
            <w:r w:rsidRPr="00744C9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39" w:type="dxa"/>
          </w:tcPr>
          <w:p w14:paraId="7E810776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 xml:space="preserve">1-50 </w:t>
            </w:r>
          </w:p>
        </w:tc>
        <w:tc>
          <w:tcPr>
            <w:tcW w:w="1106" w:type="dxa"/>
          </w:tcPr>
          <w:p w14:paraId="370845AF" w14:textId="17F024F1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$13</w:t>
            </w:r>
            <w:r w:rsidR="00852DB5">
              <w:rPr>
                <w:sz w:val="20"/>
                <w:szCs w:val="20"/>
              </w:rPr>
              <w:t>3.6</w:t>
            </w:r>
            <w:r w:rsidRPr="00744C9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75" w:type="dxa"/>
          </w:tcPr>
          <w:p w14:paraId="53662250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>1-50</w:t>
            </w:r>
          </w:p>
        </w:tc>
        <w:tc>
          <w:tcPr>
            <w:tcW w:w="1106" w:type="dxa"/>
          </w:tcPr>
          <w:p w14:paraId="103F4BCE" w14:textId="7ADE45DF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852DB5">
              <w:rPr>
                <w:sz w:val="20"/>
                <w:szCs w:val="20"/>
              </w:rPr>
              <w:t>6</w:t>
            </w:r>
            <w:r w:rsidR="00F27F0C">
              <w:rPr>
                <w:sz w:val="20"/>
                <w:szCs w:val="20"/>
              </w:rPr>
              <w:t>8.50</w:t>
            </w:r>
          </w:p>
        </w:tc>
        <w:tc>
          <w:tcPr>
            <w:tcW w:w="1051" w:type="dxa"/>
          </w:tcPr>
          <w:p w14:paraId="674BD129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$143.22</w:t>
            </w:r>
          </w:p>
        </w:tc>
        <w:tc>
          <w:tcPr>
            <w:tcW w:w="1639" w:type="dxa"/>
          </w:tcPr>
          <w:p w14:paraId="62A3FBFE" w14:textId="2AFD7CED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$5</w:t>
            </w:r>
            <w:r w:rsidR="00852DB5">
              <w:rPr>
                <w:b/>
                <w:sz w:val="20"/>
                <w:szCs w:val="20"/>
              </w:rPr>
              <w:t>4</w:t>
            </w:r>
            <w:r w:rsidR="00B059F6">
              <w:rPr>
                <w:b/>
                <w:sz w:val="20"/>
                <w:szCs w:val="20"/>
              </w:rPr>
              <w:t>5.40</w:t>
            </w:r>
          </w:p>
        </w:tc>
        <w:tc>
          <w:tcPr>
            <w:tcW w:w="1639" w:type="dxa"/>
          </w:tcPr>
          <w:p w14:paraId="480720E8" w14:textId="7D192C1F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852DB5">
              <w:rPr>
                <w:b/>
                <w:sz w:val="20"/>
                <w:szCs w:val="20"/>
              </w:rPr>
              <w:t>3</w:t>
            </w:r>
            <w:r w:rsidR="00B059F6">
              <w:rPr>
                <w:b/>
                <w:sz w:val="20"/>
                <w:szCs w:val="20"/>
              </w:rPr>
              <w:t>2.08</w:t>
            </w:r>
          </w:p>
        </w:tc>
      </w:tr>
      <w:tr w:rsidR="00EF0701" w:rsidRPr="00744C9B" w14:paraId="3577475F" w14:textId="77777777" w:rsidTr="00B6334B">
        <w:trPr>
          <w:trHeight w:val="94"/>
        </w:trPr>
        <w:tc>
          <w:tcPr>
            <w:tcW w:w="3888" w:type="dxa"/>
          </w:tcPr>
          <w:p w14:paraId="3B2FB246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greater than 26 – 40%</w:t>
            </w:r>
          </w:p>
        </w:tc>
        <w:tc>
          <w:tcPr>
            <w:tcW w:w="1239" w:type="dxa"/>
          </w:tcPr>
          <w:p w14:paraId="2FD6F641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AC1-50</w:t>
            </w:r>
          </w:p>
        </w:tc>
        <w:tc>
          <w:tcPr>
            <w:tcW w:w="1106" w:type="dxa"/>
          </w:tcPr>
          <w:p w14:paraId="64B1F8BF" w14:textId="06519E04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</w:t>
            </w:r>
            <w:r w:rsidR="00852DB5">
              <w:rPr>
                <w:sz w:val="20"/>
                <w:szCs w:val="20"/>
              </w:rPr>
              <w:t>3.6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14:paraId="1AA0AF20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AC1-40</w:t>
            </w:r>
          </w:p>
        </w:tc>
        <w:tc>
          <w:tcPr>
            <w:tcW w:w="1106" w:type="dxa"/>
          </w:tcPr>
          <w:p w14:paraId="216B1C25" w14:textId="4379664F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F27F0C">
              <w:rPr>
                <w:sz w:val="20"/>
                <w:szCs w:val="20"/>
              </w:rPr>
              <w:t>22.20</w:t>
            </w:r>
          </w:p>
        </w:tc>
        <w:tc>
          <w:tcPr>
            <w:tcW w:w="1051" w:type="dxa"/>
          </w:tcPr>
          <w:p w14:paraId="25236FCA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$143.22</w:t>
            </w:r>
          </w:p>
        </w:tc>
        <w:tc>
          <w:tcPr>
            <w:tcW w:w="1639" w:type="dxa"/>
          </w:tcPr>
          <w:p w14:paraId="5B8462A3" w14:textId="0571D617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$4</w:t>
            </w:r>
            <w:r w:rsidR="00852DB5">
              <w:rPr>
                <w:b/>
                <w:sz w:val="20"/>
                <w:szCs w:val="20"/>
              </w:rPr>
              <w:t>9</w:t>
            </w:r>
            <w:r w:rsidR="00B059F6">
              <w:rPr>
                <w:b/>
                <w:sz w:val="20"/>
                <w:szCs w:val="20"/>
              </w:rPr>
              <w:t>9.10</w:t>
            </w:r>
          </w:p>
        </w:tc>
        <w:tc>
          <w:tcPr>
            <w:tcW w:w="1639" w:type="dxa"/>
          </w:tcPr>
          <w:p w14:paraId="00C8E148" w14:textId="39792EB5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</w:t>
            </w:r>
            <w:r w:rsidR="00852DB5">
              <w:rPr>
                <w:b/>
                <w:sz w:val="20"/>
                <w:szCs w:val="20"/>
              </w:rPr>
              <w:t>9</w:t>
            </w:r>
            <w:r w:rsidR="00B059F6">
              <w:rPr>
                <w:b/>
                <w:sz w:val="20"/>
                <w:szCs w:val="20"/>
              </w:rPr>
              <w:t>.36</w:t>
            </w:r>
          </w:p>
        </w:tc>
      </w:tr>
      <w:tr w:rsidR="00EF0701" w:rsidRPr="00744C9B" w14:paraId="19AAE997" w14:textId="77777777" w:rsidTr="00B6334B">
        <w:trPr>
          <w:trHeight w:val="94"/>
        </w:trPr>
        <w:tc>
          <w:tcPr>
            <w:tcW w:w="3888" w:type="dxa"/>
          </w:tcPr>
          <w:p w14:paraId="3BF9D48A" w14:textId="0A3DB0FC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Teach </w:t>
            </w:r>
            <w:r>
              <w:rPr>
                <w:sz w:val="20"/>
                <w:szCs w:val="20"/>
              </w:rPr>
              <w:t>.25 or less &amp; earning $</w:t>
            </w:r>
            <w:r w:rsidR="00A05A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47D56">
              <w:rPr>
                <w:sz w:val="20"/>
                <w:szCs w:val="20"/>
              </w:rPr>
              <w:t>228</w:t>
            </w:r>
            <w:r w:rsidRPr="00744C9B">
              <w:rPr>
                <w:sz w:val="20"/>
                <w:szCs w:val="20"/>
              </w:rPr>
              <w:t xml:space="preserve"> and over annually</w:t>
            </w:r>
          </w:p>
        </w:tc>
        <w:tc>
          <w:tcPr>
            <w:tcW w:w="1239" w:type="dxa"/>
          </w:tcPr>
          <w:p w14:paraId="7A5B8CF1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>1-25</w:t>
            </w:r>
            <w:r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106" w:type="dxa"/>
          </w:tcPr>
          <w:p w14:paraId="253AFF73" w14:textId="5DF6CB81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$74.</w:t>
            </w:r>
            <w:r w:rsidR="00852DB5">
              <w:rPr>
                <w:sz w:val="20"/>
                <w:szCs w:val="20"/>
              </w:rPr>
              <w:t>9</w:t>
            </w:r>
            <w:r w:rsidRPr="00744C9B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14:paraId="6366A908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AC-1-25</w:t>
            </w:r>
          </w:p>
        </w:tc>
        <w:tc>
          <w:tcPr>
            <w:tcW w:w="1106" w:type="dxa"/>
          </w:tcPr>
          <w:p w14:paraId="746F71F8" w14:textId="6BD9FFCC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852DB5">
              <w:rPr>
                <w:sz w:val="20"/>
                <w:szCs w:val="20"/>
              </w:rPr>
              <w:t>5</w:t>
            </w:r>
            <w:r w:rsidR="00F27F0C">
              <w:rPr>
                <w:sz w:val="20"/>
                <w:szCs w:val="20"/>
              </w:rPr>
              <w:t>2.75</w:t>
            </w:r>
          </w:p>
          <w:p w14:paraId="72741DAB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BA31C95" w14:textId="41A2F9CC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$93.05</w:t>
            </w:r>
          </w:p>
        </w:tc>
        <w:tc>
          <w:tcPr>
            <w:tcW w:w="1639" w:type="dxa"/>
          </w:tcPr>
          <w:p w14:paraId="6B8C7CE2" w14:textId="7D2E8673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$3</w:t>
            </w:r>
            <w:r w:rsidR="00B059F6">
              <w:rPr>
                <w:b/>
                <w:sz w:val="20"/>
                <w:szCs w:val="20"/>
              </w:rPr>
              <w:t>20.74</w:t>
            </w:r>
            <w:r w:rsidRPr="002607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</w:tcPr>
          <w:p w14:paraId="079FD494" w14:textId="59F1DCBD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</w:t>
            </w:r>
            <w:r w:rsidR="00852DB5">
              <w:rPr>
                <w:b/>
                <w:sz w:val="20"/>
                <w:szCs w:val="20"/>
              </w:rPr>
              <w:t>8.</w:t>
            </w:r>
            <w:r w:rsidR="00B059F6">
              <w:rPr>
                <w:b/>
                <w:sz w:val="20"/>
                <w:szCs w:val="20"/>
              </w:rPr>
              <w:t>87</w:t>
            </w:r>
          </w:p>
        </w:tc>
      </w:tr>
      <w:tr w:rsidR="00EF0701" w:rsidRPr="00744C9B" w14:paraId="6E908F18" w14:textId="77777777" w:rsidTr="00B6334B">
        <w:trPr>
          <w:trHeight w:val="94"/>
        </w:trPr>
        <w:tc>
          <w:tcPr>
            <w:tcW w:w="3888" w:type="dxa"/>
          </w:tcPr>
          <w:p w14:paraId="4CD005B2" w14:textId="5C133F28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Teach </w:t>
            </w:r>
            <w:r>
              <w:rPr>
                <w:sz w:val="20"/>
                <w:szCs w:val="20"/>
              </w:rPr>
              <w:t>.25</w:t>
            </w:r>
            <w:r w:rsidRPr="00744C9B">
              <w:rPr>
                <w:sz w:val="20"/>
                <w:szCs w:val="20"/>
              </w:rPr>
              <w:t xml:space="preserve"> or less &amp; earning under $</w:t>
            </w:r>
            <w:r w:rsidR="00A05A1E">
              <w:rPr>
                <w:sz w:val="20"/>
                <w:szCs w:val="20"/>
              </w:rPr>
              <w:t>6,</w:t>
            </w:r>
            <w:r w:rsidR="00C47D56">
              <w:rPr>
                <w:sz w:val="20"/>
                <w:szCs w:val="20"/>
              </w:rPr>
              <w:t>228</w:t>
            </w:r>
            <w:r w:rsidRPr="00744C9B">
              <w:rPr>
                <w:sz w:val="20"/>
                <w:szCs w:val="20"/>
              </w:rPr>
              <w:t xml:space="preserve"> annually </w:t>
            </w:r>
          </w:p>
        </w:tc>
        <w:tc>
          <w:tcPr>
            <w:tcW w:w="1239" w:type="dxa"/>
          </w:tcPr>
          <w:p w14:paraId="63774E36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744C9B">
              <w:rPr>
                <w:sz w:val="20"/>
                <w:szCs w:val="20"/>
              </w:rPr>
              <w:t>1-25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106" w:type="dxa"/>
          </w:tcPr>
          <w:p w14:paraId="73005192" w14:textId="4C1A153C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$74.</w:t>
            </w:r>
            <w:r w:rsidR="00852DB5">
              <w:rPr>
                <w:sz w:val="20"/>
                <w:szCs w:val="20"/>
              </w:rPr>
              <w:t>9</w:t>
            </w:r>
            <w:r w:rsidRPr="00744C9B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14:paraId="6E4633B7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AC1=25</w:t>
            </w:r>
          </w:p>
        </w:tc>
        <w:tc>
          <w:tcPr>
            <w:tcW w:w="1106" w:type="dxa"/>
          </w:tcPr>
          <w:p w14:paraId="163AE00E" w14:textId="4CD61F15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2DB5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051" w:type="dxa"/>
          </w:tcPr>
          <w:p w14:paraId="6BB23434" w14:textId="229CDFCB" w:rsidR="00EF0701" w:rsidRPr="00744C9B" w:rsidRDefault="00C2235F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39" w:type="dxa"/>
          </w:tcPr>
          <w:p w14:paraId="2E8994CB" w14:textId="08E99B74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$126.</w:t>
            </w:r>
            <w:r w:rsidR="00852DB5">
              <w:rPr>
                <w:b/>
                <w:sz w:val="20"/>
                <w:szCs w:val="20"/>
              </w:rPr>
              <w:t>9</w:t>
            </w:r>
            <w:r w:rsidRPr="002607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6F1E0AC8" w14:textId="67A6DB67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852DB5">
              <w:rPr>
                <w:b/>
                <w:sz w:val="20"/>
                <w:szCs w:val="20"/>
              </w:rPr>
              <w:t>7.4</w:t>
            </w:r>
            <w:r w:rsidR="00B059F6">
              <w:rPr>
                <w:b/>
                <w:sz w:val="20"/>
                <w:szCs w:val="20"/>
              </w:rPr>
              <w:t>6</w:t>
            </w:r>
          </w:p>
        </w:tc>
      </w:tr>
    </w:tbl>
    <w:p w14:paraId="3ACE700C" w14:textId="77777777" w:rsidR="00EF0701" w:rsidRPr="00744C9B" w:rsidRDefault="00EF0701" w:rsidP="00EF0701">
      <w:pPr>
        <w:pStyle w:val="Default"/>
        <w:rPr>
          <w:b/>
          <w:bCs/>
          <w:sz w:val="20"/>
          <w:szCs w:val="20"/>
        </w:rPr>
      </w:pPr>
    </w:p>
    <w:p w14:paraId="1CAD5E98" w14:textId="77777777" w:rsidR="00EF0701" w:rsidRPr="00744C9B" w:rsidRDefault="00EF0701" w:rsidP="00EF0701">
      <w:pPr>
        <w:pStyle w:val="Default"/>
        <w:tabs>
          <w:tab w:val="left" w:pos="9600"/>
          <w:tab w:val="left" w:pos="11040"/>
          <w:tab w:val="left" w:pos="13120"/>
          <w:tab w:val="left" w:pos="15200"/>
          <w:tab w:val="left" w:pos="17280"/>
          <w:tab w:val="left" w:pos="19360"/>
          <w:tab w:val="left" w:pos="21440"/>
        </w:tabs>
        <w:outlineLvl w:val="0"/>
        <w:rPr>
          <w:b/>
          <w:bCs/>
          <w:sz w:val="20"/>
          <w:szCs w:val="20"/>
        </w:rPr>
      </w:pPr>
      <w:r w:rsidRPr="00074147">
        <w:rPr>
          <w:b/>
          <w:bCs/>
          <w:color w:val="2E74B5" w:themeColor="accent5" w:themeShade="BF"/>
          <w:sz w:val="20"/>
          <w:szCs w:val="20"/>
        </w:rPr>
        <w:t>Non-</w:t>
      </w:r>
      <w:proofErr w:type="spellStart"/>
      <w:r w:rsidRPr="00074147">
        <w:rPr>
          <w:b/>
          <w:bCs/>
          <w:color w:val="2E74B5" w:themeColor="accent5" w:themeShade="BF"/>
          <w:sz w:val="20"/>
          <w:szCs w:val="20"/>
        </w:rPr>
        <w:t>Lic</w:t>
      </w:r>
      <w:proofErr w:type="spellEnd"/>
      <w:r w:rsidRPr="00074147">
        <w:rPr>
          <w:b/>
          <w:bCs/>
          <w:color w:val="2E74B5" w:themeColor="accent5" w:themeShade="BF"/>
          <w:sz w:val="20"/>
          <w:szCs w:val="20"/>
        </w:rPr>
        <w:t>. Member</w:t>
      </w:r>
      <w:r w:rsidRPr="00744C9B">
        <w:rPr>
          <w:b/>
          <w:bCs/>
          <w:sz w:val="20"/>
          <w:szCs w:val="20"/>
        </w:rPr>
        <w:t>:</w:t>
      </w:r>
      <w:r w:rsidRPr="00744C9B">
        <w:rPr>
          <w:b/>
          <w:bCs/>
          <w:sz w:val="20"/>
          <w:szCs w:val="20"/>
        </w:rPr>
        <w:tab/>
      </w:r>
      <w:r w:rsidRPr="00744C9B">
        <w:rPr>
          <w:b/>
          <w:bCs/>
          <w:sz w:val="20"/>
          <w:szCs w:val="20"/>
        </w:rPr>
        <w:tab/>
      </w:r>
      <w:r w:rsidRPr="00744C9B">
        <w:rPr>
          <w:b/>
          <w:bCs/>
          <w:sz w:val="20"/>
          <w:szCs w:val="20"/>
        </w:rPr>
        <w:tab/>
      </w:r>
    </w:p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080"/>
        <w:gridCol w:w="1080"/>
        <w:gridCol w:w="1080"/>
        <w:gridCol w:w="1057"/>
        <w:gridCol w:w="1643"/>
        <w:gridCol w:w="1643"/>
      </w:tblGrid>
      <w:tr w:rsidR="00EF0701" w:rsidRPr="00744C9B" w14:paraId="6DD092B6" w14:textId="77777777" w:rsidTr="00B6334B">
        <w:trPr>
          <w:trHeight w:val="94"/>
        </w:trPr>
        <w:tc>
          <w:tcPr>
            <w:tcW w:w="3888" w:type="dxa"/>
          </w:tcPr>
          <w:p w14:paraId="4212A5B7" w14:textId="78A56C3B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Earning $3</w:t>
            </w:r>
            <w:r w:rsidR="00F27F0C">
              <w:rPr>
                <w:sz w:val="20"/>
                <w:szCs w:val="20"/>
              </w:rPr>
              <w:t>9</w:t>
            </w:r>
            <w:r w:rsidR="00A05A1E">
              <w:rPr>
                <w:sz w:val="20"/>
                <w:szCs w:val="20"/>
              </w:rPr>
              <w:t>,</w:t>
            </w:r>
            <w:r w:rsidR="00F27F0C">
              <w:rPr>
                <w:sz w:val="20"/>
                <w:szCs w:val="20"/>
              </w:rPr>
              <w:t>818</w:t>
            </w:r>
            <w:r w:rsidRPr="00744C9B">
              <w:rPr>
                <w:sz w:val="20"/>
                <w:szCs w:val="20"/>
              </w:rPr>
              <w:t xml:space="preserve"> and over</w:t>
            </w:r>
          </w:p>
        </w:tc>
        <w:tc>
          <w:tcPr>
            <w:tcW w:w="1260" w:type="dxa"/>
          </w:tcPr>
          <w:p w14:paraId="606C35AB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AC-2-100</w:t>
            </w:r>
          </w:p>
        </w:tc>
        <w:tc>
          <w:tcPr>
            <w:tcW w:w="1080" w:type="dxa"/>
          </w:tcPr>
          <w:p w14:paraId="3253D94F" w14:textId="1A77CFC1" w:rsidR="00EF0701" w:rsidRPr="00744C9B" w:rsidRDefault="00EF0701" w:rsidP="00B6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52DB5">
              <w:rPr>
                <w:rFonts w:ascii="Arial" w:hAnsi="Arial" w:cs="Arial"/>
                <w:sz w:val="20"/>
                <w:szCs w:val="20"/>
              </w:rPr>
              <w:t>51.1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5C46CA9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AC-2-100</w:t>
            </w:r>
          </w:p>
        </w:tc>
        <w:tc>
          <w:tcPr>
            <w:tcW w:w="1080" w:type="dxa"/>
          </w:tcPr>
          <w:p w14:paraId="6B897BBD" w14:textId="654B5827" w:rsidR="00EF0701" w:rsidRPr="00744C9B" w:rsidRDefault="00EF0701" w:rsidP="00B633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852D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27F0C">
              <w:rPr>
                <w:rFonts w:ascii="Arial" w:hAnsi="Arial" w:cs="Arial"/>
                <w:color w:val="000000"/>
                <w:sz w:val="20"/>
                <w:szCs w:val="20"/>
              </w:rPr>
              <w:t>34.00</w:t>
            </w:r>
            <w:r w:rsidRPr="00744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Align w:val="bottom"/>
          </w:tcPr>
          <w:p w14:paraId="145CF487" w14:textId="77777777" w:rsidR="00EF0701" w:rsidRPr="00744C9B" w:rsidRDefault="00EF0701" w:rsidP="00B6334B">
            <w:pPr>
              <w:rPr>
                <w:rFonts w:ascii="Arial" w:hAnsi="Arial" w:cs="Arial"/>
                <w:sz w:val="20"/>
                <w:szCs w:val="20"/>
              </w:rPr>
            </w:pPr>
            <w:r w:rsidRPr="00744C9B">
              <w:rPr>
                <w:rFonts w:ascii="Arial" w:hAnsi="Arial" w:cs="Arial"/>
                <w:sz w:val="20"/>
                <w:szCs w:val="20"/>
              </w:rPr>
              <w:t>$207.42</w:t>
            </w:r>
          </w:p>
        </w:tc>
        <w:tc>
          <w:tcPr>
            <w:tcW w:w="1643" w:type="dxa"/>
            <w:vAlign w:val="bottom"/>
          </w:tcPr>
          <w:p w14:paraId="4D1DA40D" w14:textId="4F9B87BF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07BB">
              <w:rPr>
                <w:rFonts w:ascii="Arial" w:hAnsi="Arial" w:cs="Arial"/>
                <w:b/>
                <w:sz w:val="20"/>
                <w:szCs w:val="20"/>
              </w:rPr>
              <w:t>$7</w:t>
            </w:r>
            <w:r w:rsidR="00B059F6">
              <w:rPr>
                <w:rFonts w:ascii="Arial" w:hAnsi="Arial" w:cs="Arial"/>
                <w:b/>
                <w:sz w:val="20"/>
                <w:szCs w:val="20"/>
              </w:rPr>
              <w:t>92.58</w:t>
            </w:r>
            <w:r w:rsidRPr="002607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052B6BBB" w14:textId="5342ACB3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</w:t>
            </w:r>
            <w:r w:rsidR="00852DB5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B059F6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</w:tr>
      <w:tr w:rsidR="00EF0701" w:rsidRPr="00744C9B" w14:paraId="327815F5" w14:textId="77777777" w:rsidTr="00B6334B">
        <w:trPr>
          <w:trHeight w:val="94"/>
        </w:trPr>
        <w:tc>
          <w:tcPr>
            <w:tcW w:w="3888" w:type="dxa"/>
          </w:tcPr>
          <w:p w14:paraId="75994FA4" w14:textId="3C3BDF92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Earning $2</w:t>
            </w:r>
            <w:r w:rsidR="00A05A1E">
              <w:rPr>
                <w:sz w:val="20"/>
                <w:szCs w:val="20"/>
              </w:rPr>
              <w:t>9,</w:t>
            </w:r>
            <w:r w:rsidR="00F27F0C">
              <w:rPr>
                <w:sz w:val="20"/>
                <w:szCs w:val="20"/>
              </w:rPr>
              <w:t>863</w:t>
            </w:r>
            <w:r w:rsidRPr="00744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$3</w:t>
            </w:r>
            <w:r w:rsidR="00F27F0C">
              <w:rPr>
                <w:sz w:val="20"/>
                <w:szCs w:val="20"/>
              </w:rPr>
              <w:t>9</w:t>
            </w:r>
            <w:r w:rsidR="00A05A1E">
              <w:rPr>
                <w:sz w:val="20"/>
                <w:szCs w:val="20"/>
              </w:rPr>
              <w:t>,</w:t>
            </w:r>
            <w:r w:rsidR="00F27F0C">
              <w:rPr>
                <w:sz w:val="20"/>
                <w:szCs w:val="20"/>
              </w:rPr>
              <w:t>817</w:t>
            </w:r>
          </w:p>
        </w:tc>
        <w:tc>
          <w:tcPr>
            <w:tcW w:w="1260" w:type="dxa"/>
          </w:tcPr>
          <w:p w14:paraId="15914CC7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AC-2-100</w:t>
            </w:r>
          </w:p>
        </w:tc>
        <w:tc>
          <w:tcPr>
            <w:tcW w:w="1080" w:type="dxa"/>
          </w:tcPr>
          <w:p w14:paraId="023B2E10" w14:textId="5B36DEB7" w:rsidR="00EF0701" w:rsidRPr="00744C9B" w:rsidRDefault="00EF0701" w:rsidP="00B6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52DB5">
              <w:rPr>
                <w:rFonts w:ascii="Arial" w:hAnsi="Arial" w:cs="Arial"/>
                <w:sz w:val="20"/>
                <w:szCs w:val="20"/>
              </w:rPr>
              <w:t>51.1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3362BF08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AC-2-75 </w:t>
            </w:r>
          </w:p>
        </w:tc>
        <w:tc>
          <w:tcPr>
            <w:tcW w:w="1080" w:type="dxa"/>
          </w:tcPr>
          <w:p w14:paraId="6E47579E" w14:textId="260FD1E4" w:rsidR="00EF0701" w:rsidRPr="00744C9B" w:rsidRDefault="00EF0701" w:rsidP="00B633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</w:t>
            </w:r>
            <w:r w:rsidR="00852D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27F0C">
              <w:rPr>
                <w:rFonts w:ascii="Arial" w:hAnsi="Arial" w:cs="Arial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1057" w:type="dxa"/>
            <w:vAlign w:val="bottom"/>
          </w:tcPr>
          <w:p w14:paraId="41F944B4" w14:textId="77777777" w:rsidR="00EF0701" w:rsidRPr="00744C9B" w:rsidRDefault="00EF0701" w:rsidP="00B6334B">
            <w:pPr>
              <w:rPr>
                <w:rFonts w:ascii="Arial" w:hAnsi="Arial" w:cs="Arial"/>
                <w:sz w:val="20"/>
                <w:szCs w:val="20"/>
              </w:rPr>
            </w:pPr>
            <w:r w:rsidRPr="00744C9B">
              <w:rPr>
                <w:rFonts w:ascii="Arial" w:hAnsi="Arial" w:cs="Arial"/>
                <w:sz w:val="20"/>
                <w:szCs w:val="20"/>
              </w:rPr>
              <w:t>$173.22</w:t>
            </w:r>
          </w:p>
        </w:tc>
        <w:tc>
          <w:tcPr>
            <w:tcW w:w="1643" w:type="dxa"/>
            <w:vAlign w:val="bottom"/>
          </w:tcPr>
          <w:p w14:paraId="12CD946C" w14:textId="708C5A31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07BB">
              <w:rPr>
                <w:rFonts w:ascii="Arial" w:hAnsi="Arial" w:cs="Arial"/>
                <w:b/>
                <w:sz w:val="20"/>
                <w:szCs w:val="20"/>
              </w:rPr>
              <w:t>$6</w:t>
            </w:r>
            <w:r w:rsidR="00B059F6">
              <w:rPr>
                <w:rFonts w:ascii="Arial" w:hAnsi="Arial" w:cs="Arial"/>
                <w:b/>
                <w:sz w:val="20"/>
                <w:szCs w:val="20"/>
              </w:rPr>
              <w:t>84.13</w:t>
            </w:r>
            <w:r w:rsidRPr="002607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3C39D57" w14:textId="164CDE66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059F6">
              <w:rPr>
                <w:rFonts w:ascii="Arial" w:hAnsi="Arial" w:cs="Arial"/>
                <w:b/>
                <w:sz w:val="20"/>
                <w:szCs w:val="20"/>
              </w:rPr>
              <w:t>40.24</w:t>
            </w:r>
          </w:p>
        </w:tc>
      </w:tr>
      <w:tr w:rsidR="00EF0701" w:rsidRPr="00744C9B" w14:paraId="197BDD85" w14:textId="77777777" w:rsidTr="00B6334B">
        <w:trPr>
          <w:trHeight w:val="94"/>
        </w:trPr>
        <w:tc>
          <w:tcPr>
            <w:tcW w:w="3888" w:type="dxa"/>
          </w:tcPr>
          <w:p w14:paraId="43EF1B84" w14:textId="5E40CE9A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Earning $1</w:t>
            </w:r>
            <w:r w:rsidR="00A05A1E">
              <w:rPr>
                <w:sz w:val="20"/>
                <w:szCs w:val="20"/>
              </w:rPr>
              <w:t>9,</w:t>
            </w:r>
            <w:r w:rsidR="00F27F0C">
              <w:rPr>
                <w:sz w:val="20"/>
                <w:szCs w:val="20"/>
              </w:rPr>
              <w:t>909</w:t>
            </w:r>
            <w:r>
              <w:rPr>
                <w:sz w:val="20"/>
                <w:szCs w:val="20"/>
              </w:rPr>
              <w:t xml:space="preserve"> to $2</w:t>
            </w:r>
            <w:r w:rsidR="00A05A1E">
              <w:rPr>
                <w:sz w:val="20"/>
                <w:szCs w:val="20"/>
              </w:rPr>
              <w:t>9,</w:t>
            </w:r>
            <w:r w:rsidR="00F27F0C">
              <w:rPr>
                <w:sz w:val="20"/>
                <w:szCs w:val="20"/>
              </w:rPr>
              <w:t>862</w:t>
            </w:r>
          </w:p>
        </w:tc>
        <w:tc>
          <w:tcPr>
            <w:tcW w:w="1260" w:type="dxa"/>
          </w:tcPr>
          <w:p w14:paraId="46FF63AE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AC-2-50</w:t>
            </w:r>
          </w:p>
        </w:tc>
        <w:tc>
          <w:tcPr>
            <w:tcW w:w="1080" w:type="dxa"/>
          </w:tcPr>
          <w:p w14:paraId="4E9FE40D" w14:textId="269FC15C" w:rsidR="00EF0701" w:rsidRPr="009520A4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852DB5">
              <w:rPr>
                <w:sz w:val="20"/>
                <w:szCs w:val="20"/>
              </w:rPr>
              <w:t>33.6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14:paraId="66FC9864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AC-2-50</w:t>
            </w:r>
          </w:p>
        </w:tc>
        <w:tc>
          <w:tcPr>
            <w:tcW w:w="1080" w:type="dxa"/>
          </w:tcPr>
          <w:p w14:paraId="036F3416" w14:textId="5BA48CD4" w:rsidR="00EF0701" w:rsidRPr="00744C9B" w:rsidRDefault="00EF0701" w:rsidP="00B633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</w:t>
            </w:r>
            <w:r w:rsidR="00852D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27F0C">
              <w:rPr>
                <w:rFonts w:ascii="Arial" w:hAnsi="Arial" w:cs="Arial"/>
                <w:color w:val="000000"/>
                <w:sz w:val="20"/>
                <w:szCs w:val="20"/>
              </w:rPr>
              <w:t>5.50</w:t>
            </w:r>
            <w:r w:rsidRPr="00744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Align w:val="bottom"/>
          </w:tcPr>
          <w:p w14:paraId="5C2DD7DA" w14:textId="77777777" w:rsidR="00EF0701" w:rsidRPr="00744C9B" w:rsidRDefault="00EF0701" w:rsidP="00B6334B">
            <w:pPr>
              <w:rPr>
                <w:rFonts w:ascii="Arial" w:hAnsi="Arial" w:cs="Arial"/>
                <w:sz w:val="20"/>
                <w:szCs w:val="20"/>
              </w:rPr>
            </w:pPr>
            <w:r w:rsidRPr="00744C9B">
              <w:rPr>
                <w:rFonts w:ascii="Arial" w:hAnsi="Arial" w:cs="Arial"/>
                <w:sz w:val="20"/>
                <w:szCs w:val="20"/>
              </w:rPr>
              <w:t>$100.25</w:t>
            </w:r>
          </w:p>
        </w:tc>
        <w:tc>
          <w:tcPr>
            <w:tcW w:w="1643" w:type="dxa"/>
            <w:shd w:val="clear" w:color="auto" w:fill="FFFFFF" w:themeFill="background1"/>
            <w:vAlign w:val="bottom"/>
          </w:tcPr>
          <w:p w14:paraId="65BEB84F" w14:textId="59F8863A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07BB">
              <w:rPr>
                <w:rFonts w:ascii="Arial" w:hAnsi="Arial" w:cs="Arial"/>
                <w:b/>
                <w:sz w:val="20"/>
                <w:szCs w:val="20"/>
              </w:rPr>
              <w:t>$41</w:t>
            </w:r>
            <w:r w:rsidR="00B059F6">
              <w:rPr>
                <w:rFonts w:ascii="Arial" w:hAnsi="Arial" w:cs="Arial"/>
                <w:b/>
                <w:sz w:val="20"/>
                <w:szCs w:val="20"/>
              </w:rPr>
              <w:t>9.43</w:t>
            </w:r>
          </w:p>
        </w:tc>
        <w:tc>
          <w:tcPr>
            <w:tcW w:w="1643" w:type="dxa"/>
            <w:shd w:val="clear" w:color="auto" w:fill="FFFFFF" w:themeFill="background1"/>
          </w:tcPr>
          <w:p w14:paraId="60B1A10A" w14:textId="7A135B84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</w:t>
            </w:r>
            <w:r w:rsidR="00852DB5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DF5702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tr w:rsidR="00EF0701" w:rsidRPr="00744C9B" w14:paraId="42DC6456" w14:textId="77777777" w:rsidTr="00B6334B">
        <w:trPr>
          <w:trHeight w:val="80"/>
        </w:trPr>
        <w:tc>
          <w:tcPr>
            <w:tcW w:w="3888" w:type="dxa"/>
          </w:tcPr>
          <w:p w14:paraId="3FEDE579" w14:textId="15CB8CC2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Earning $8,</w:t>
            </w:r>
            <w:r w:rsidR="00F27F0C">
              <w:rPr>
                <w:sz w:val="20"/>
                <w:szCs w:val="20"/>
              </w:rPr>
              <w:t>760</w:t>
            </w:r>
            <w:r>
              <w:rPr>
                <w:sz w:val="20"/>
                <w:szCs w:val="20"/>
              </w:rPr>
              <w:t xml:space="preserve"> to $1</w:t>
            </w:r>
            <w:r w:rsidR="00A05A1E">
              <w:rPr>
                <w:sz w:val="20"/>
                <w:szCs w:val="20"/>
              </w:rPr>
              <w:t>9,</w:t>
            </w:r>
            <w:r w:rsidR="00F27F0C">
              <w:rPr>
                <w:sz w:val="20"/>
                <w:szCs w:val="20"/>
              </w:rPr>
              <w:t>908</w:t>
            </w:r>
          </w:p>
        </w:tc>
        <w:tc>
          <w:tcPr>
            <w:tcW w:w="1260" w:type="dxa"/>
          </w:tcPr>
          <w:p w14:paraId="2489289A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 2-25</w:t>
            </w:r>
          </w:p>
        </w:tc>
        <w:tc>
          <w:tcPr>
            <w:tcW w:w="1080" w:type="dxa"/>
          </w:tcPr>
          <w:p w14:paraId="3CE76706" w14:textId="27E809CB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744C9B">
              <w:rPr>
                <w:sz w:val="20"/>
                <w:szCs w:val="20"/>
              </w:rPr>
              <w:t>74.</w:t>
            </w:r>
            <w:r w:rsidR="00852DB5">
              <w:rPr>
                <w:sz w:val="20"/>
                <w:szCs w:val="20"/>
              </w:rPr>
              <w:t>9</w:t>
            </w:r>
            <w:r w:rsidRPr="00744C9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4682B2C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AC 2-25 </w:t>
            </w:r>
          </w:p>
        </w:tc>
        <w:tc>
          <w:tcPr>
            <w:tcW w:w="1080" w:type="dxa"/>
          </w:tcPr>
          <w:p w14:paraId="7B4CF03A" w14:textId="202E1566" w:rsidR="00EF0701" w:rsidRPr="00744C9B" w:rsidRDefault="00EF0701" w:rsidP="00B633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852DB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27F0C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  <w:r w:rsidRPr="00744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Align w:val="bottom"/>
          </w:tcPr>
          <w:p w14:paraId="51A8D895" w14:textId="0F138B66" w:rsidR="00EF0701" w:rsidRPr="00744C9B" w:rsidRDefault="00EF0701" w:rsidP="00B6334B">
            <w:pPr>
              <w:rPr>
                <w:rFonts w:ascii="Arial" w:hAnsi="Arial" w:cs="Arial"/>
                <w:sz w:val="20"/>
                <w:szCs w:val="20"/>
              </w:rPr>
            </w:pPr>
            <w:r w:rsidRPr="00744C9B">
              <w:rPr>
                <w:rFonts w:ascii="Arial" w:hAnsi="Arial" w:cs="Arial"/>
                <w:sz w:val="20"/>
                <w:szCs w:val="20"/>
              </w:rPr>
              <w:t>$65.14</w:t>
            </w:r>
          </w:p>
        </w:tc>
        <w:tc>
          <w:tcPr>
            <w:tcW w:w="1643" w:type="dxa"/>
            <w:vAlign w:val="bottom"/>
          </w:tcPr>
          <w:p w14:paraId="55899B2D" w14:textId="4CB15C7A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07BB">
              <w:rPr>
                <w:rFonts w:ascii="Arial" w:hAnsi="Arial" w:cs="Arial"/>
                <w:b/>
                <w:sz w:val="20"/>
                <w:szCs w:val="20"/>
              </w:rPr>
              <w:t>$2</w:t>
            </w:r>
            <w:r w:rsidR="00B059F6">
              <w:rPr>
                <w:rFonts w:ascii="Arial" w:hAnsi="Arial" w:cs="Arial"/>
                <w:b/>
                <w:sz w:val="20"/>
                <w:szCs w:val="20"/>
              </w:rPr>
              <w:t>42.42</w:t>
            </w:r>
          </w:p>
        </w:tc>
        <w:tc>
          <w:tcPr>
            <w:tcW w:w="1643" w:type="dxa"/>
          </w:tcPr>
          <w:p w14:paraId="1B12FF64" w14:textId="2A3E465A" w:rsidR="00EF0701" w:rsidRPr="002607BB" w:rsidRDefault="00EF0701" w:rsidP="00B63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852DB5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DF570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EF0701" w:rsidRPr="00744C9B" w14:paraId="731FFA81" w14:textId="77777777" w:rsidTr="00C2235F">
        <w:trPr>
          <w:trHeight w:val="94"/>
        </w:trPr>
        <w:tc>
          <w:tcPr>
            <w:tcW w:w="3888" w:type="dxa"/>
          </w:tcPr>
          <w:p w14:paraId="1C021C3F" w14:textId="72B7DEC3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Earning under $8,</w:t>
            </w:r>
            <w:r w:rsidR="00F27F0C">
              <w:rPr>
                <w:sz w:val="20"/>
                <w:szCs w:val="20"/>
              </w:rPr>
              <w:t>760</w:t>
            </w:r>
          </w:p>
        </w:tc>
        <w:tc>
          <w:tcPr>
            <w:tcW w:w="1260" w:type="dxa"/>
          </w:tcPr>
          <w:p w14:paraId="18027109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 2-25</w:t>
            </w:r>
          </w:p>
        </w:tc>
        <w:tc>
          <w:tcPr>
            <w:tcW w:w="1080" w:type="dxa"/>
          </w:tcPr>
          <w:p w14:paraId="30B71912" w14:textId="41046D21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$74.</w:t>
            </w:r>
            <w:r w:rsidR="00852DB5">
              <w:rPr>
                <w:sz w:val="20"/>
                <w:szCs w:val="20"/>
              </w:rPr>
              <w:t>9</w:t>
            </w:r>
            <w:r w:rsidRPr="00744C9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49A738" w14:textId="77777777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>AC 2-25</w:t>
            </w:r>
          </w:p>
        </w:tc>
        <w:tc>
          <w:tcPr>
            <w:tcW w:w="1080" w:type="dxa"/>
          </w:tcPr>
          <w:p w14:paraId="53A10DD2" w14:textId="7F91B439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$</w:t>
            </w:r>
            <w:r w:rsidR="00852DB5">
              <w:rPr>
                <w:sz w:val="20"/>
                <w:szCs w:val="20"/>
              </w:rPr>
              <w:t>8</w:t>
            </w:r>
            <w:r w:rsidR="00F27F0C">
              <w:rPr>
                <w:sz w:val="20"/>
                <w:szCs w:val="20"/>
              </w:rPr>
              <w:t>4.52</w:t>
            </w:r>
          </w:p>
        </w:tc>
        <w:tc>
          <w:tcPr>
            <w:tcW w:w="1057" w:type="dxa"/>
            <w:shd w:val="clear" w:color="auto" w:fill="auto"/>
          </w:tcPr>
          <w:p w14:paraId="649C2281" w14:textId="0A1A1010" w:rsidR="00EF0701" w:rsidRPr="00744C9B" w:rsidRDefault="00EF0701" w:rsidP="00B6334B">
            <w:pPr>
              <w:pStyle w:val="Default"/>
              <w:rPr>
                <w:sz w:val="20"/>
                <w:szCs w:val="20"/>
              </w:rPr>
            </w:pPr>
            <w:r w:rsidRPr="00744C9B">
              <w:rPr>
                <w:sz w:val="20"/>
                <w:szCs w:val="20"/>
              </w:rPr>
              <w:t xml:space="preserve"> </w:t>
            </w:r>
            <w:r w:rsidR="00C2235F">
              <w:rPr>
                <w:sz w:val="20"/>
                <w:szCs w:val="20"/>
              </w:rPr>
              <w:t>N/A</w:t>
            </w:r>
          </w:p>
        </w:tc>
        <w:tc>
          <w:tcPr>
            <w:tcW w:w="1643" w:type="dxa"/>
          </w:tcPr>
          <w:p w14:paraId="54E49A4F" w14:textId="5E71C70A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607BB">
              <w:rPr>
                <w:b/>
                <w:sz w:val="20"/>
                <w:szCs w:val="20"/>
              </w:rPr>
              <w:t>$15</w:t>
            </w:r>
            <w:r w:rsidR="00B059F6">
              <w:rPr>
                <w:b/>
                <w:sz w:val="20"/>
                <w:szCs w:val="20"/>
              </w:rPr>
              <w:t>9.46</w:t>
            </w:r>
          </w:p>
        </w:tc>
        <w:tc>
          <w:tcPr>
            <w:tcW w:w="1643" w:type="dxa"/>
          </w:tcPr>
          <w:p w14:paraId="6100B4AB" w14:textId="3AB07173" w:rsidR="00EF0701" w:rsidRPr="002607BB" w:rsidRDefault="00EF0701" w:rsidP="00B6334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852DB5">
              <w:rPr>
                <w:b/>
                <w:sz w:val="20"/>
                <w:szCs w:val="20"/>
              </w:rPr>
              <w:t>9.3</w:t>
            </w:r>
            <w:r w:rsidR="00DF5702">
              <w:rPr>
                <w:b/>
                <w:sz w:val="20"/>
                <w:szCs w:val="20"/>
              </w:rPr>
              <w:t>8</w:t>
            </w:r>
          </w:p>
        </w:tc>
      </w:tr>
    </w:tbl>
    <w:p w14:paraId="47FEC9C7" w14:textId="0B5847B9" w:rsidR="00D35174" w:rsidRDefault="00D35174"/>
    <w:p w14:paraId="4845BD2A" w14:textId="3676DFB5" w:rsidR="006A2396" w:rsidRDefault="006A2396"/>
    <w:p w14:paraId="0970E85E" w14:textId="5BE9827D" w:rsidR="006A2396" w:rsidRDefault="006A2396">
      <w:r w:rsidRPr="006A2396">
        <w:rPr>
          <w:b/>
          <w:bCs/>
          <w:color w:val="4472C4" w:themeColor="accent1"/>
        </w:rPr>
        <w:t>Prorated Formula</w:t>
      </w:r>
      <w:r>
        <w:t xml:space="preserve">: </w:t>
      </w:r>
      <w:r w:rsidR="00031A78">
        <w:t>Local 2209 d</w:t>
      </w:r>
      <w:r>
        <w:t>ues</w:t>
      </w:r>
      <w:r w:rsidR="00537799">
        <w:t xml:space="preserve"> </w:t>
      </w:r>
      <w:r>
        <w:t xml:space="preserve">are prorated for Members who sign after the start of the year </w:t>
      </w:r>
      <w:r w:rsidR="00031A78">
        <w:t xml:space="preserve">and is </w:t>
      </w:r>
      <w:r>
        <w:t>based on the number of pay periods left in the membership deduction period. The formula use</w:t>
      </w:r>
      <w:r w:rsidR="00537799">
        <w:t>d</w:t>
      </w:r>
      <w:r>
        <w:t xml:space="preserve"> is as follows:</w:t>
      </w:r>
    </w:p>
    <w:p w14:paraId="7E048665" w14:textId="77777777" w:rsidR="006A2396" w:rsidRDefault="006A2396"/>
    <w:p w14:paraId="41082224" w14:textId="1A622A8D" w:rsidR="006A2396" w:rsidRDefault="006A2396">
      <w:r>
        <w:t xml:space="preserve">The Local </w:t>
      </w:r>
      <w:r w:rsidR="00537799">
        <w:t xml:space="preserve">2209 yearly total is </w:t>
      </w:r>
      <w:r>
        <w:t xml:space="preserve">(divided) by 17 (number of pay periods in 2209 collection year) = (Local dues deduction amount per pay period), this amount is then multiplied by the remaining pay periods. (Example: A non-licensed member who signs </w:t>
      </w:r>
      <w:r w:rsidR="00031A78">
        <w:t>after 10/15</w:t>
      </w:r>
      <w:r>
        <w:t xml:space="preserve"> earning $19,</w:t>
      </w:r>
      <w:r w:rsidR="00A17137">
        <w:t>909</w:t>
      </w:r>
      <w:r>
        <w:t xml:space="preserve"> to $29,</w:t>
      </w:r>
      <w:r w:rsidR="00A17137">
        <w:t>862</w:t>
      </w:r>
      <w:r>
        <w:t xml:space="preserve"> </w:t>
      </w:r>
      <w:r w:rsidR="00B3257B">
        <w:t>– 2209’s</w:t>
      </w:r>
      <w:r>
        <w:t xml:space="preserve"> annual deduction amount = $100.25/17= $5.90 x </w:t>
      </w:r>
      <w:r w:rsidRPr="006A2396">
        <w:rPr>
          <w:b/>
          <w:bCs/>
        </w:rPr>
        <w:t>16</w:t>
      </w:r>
      <w:r>
        <w:t xml:space="preserve"> (remaining pay periods </w:t>
      </w:r>
      <w:r w:rsidR="00B3257B">
        <w:t xml:space="preserve">between </w:t>
      </w:r>
      <w:r>
        <w:t xml:space="preserve">10/31 – 6/15) = </w:t>
      </w:r>
      <w:r w:rsidRPr="006A2396">
        <w:rPr>
          <w:b/>
          <w:bCs/>
        </w:rPr>
        <w:t>$94.40</w:t>
      </w:r>
      <w:r>
        <w:t xml:space="preserve"> (</w:t>
      </w:r>
      <w:r w:rsidRPr="00765D94">
        <w:rPr>
          <w:b/>
          <w:bCs/>
        </w:rPr>
        <w:t>Local</w:t>
      </w:r>
      <w:r w:rsidR="00765D94" w:rsidRPr="00765D94">
        <w:rPr>
          <w:b/>
          <w:bCs/>
        </w:rPr>
        <w:t xml:space="preserve"> 2209</w:t>
      </w:r>
      <w:r>
        <w:t xml:space="preserve"> </w:t>
      </w:r>
      <w:r w:rsidR="00765D94">
        <w:t xml:space="preserve">prorated </w:t>
      </w:r>
      <w:r>
        <w:t>annual dues total)</w:t>
      </w:r>
    </w:p>
    <w:p w14:paraId="0D440773" w14:textId="05DE74B6" w:rsidR="00765D94" w:rsidRDefault="00765D94"/>
    <w:p w14:paraId="42302ADB" w14:textId="18B538AD" w:rsidR="00765D94" w:rsidRDefault="00765D94">
      <w:r w:rsidRPr="00B3257B">
        <w:rPr>
          <w:b/>
          <w:bCs/>
        </w:rPr>
        <w:t>Note</w:t>
      </w:r>
      <w:r>
        <w:t>:</w:t>
      </w:r>
      <w:r w:rsidR="00031A78">
        <w:t xml:space="preserve"> The</w:t>
      </w:r>
      <w:r w:rsidR="00B3257B">
        <w:t xml:space="preserve"> annual</w:t>
      </w:r>
      <w:r w:rsidR="00031A78">
        <w:t xml:space="preserve"> </w:t>
      </w:r>
      <w:r w:rsidR="00B3257B">
        <w:t>dues total is</w:t>
      </w:r>
      <w:r w:rsidR="00031A78">
        <w:t xml:space="preserve"> adjusted for members</w:t>
      </w:r>
      <w:r>
        <w:t xml:space="preserve"> joining after</w:t>
      </w:r>
      <w:r w:rsidR="00031A78">
        <w:t xml:space="preserve"> Oct. 15</w:t>
      </w:r>
      <w:r w:rsidR="00031A78" w:rsidRPr="00031A78">
        <w:rPr>
          <w:vertAlign w:val="superscript"/>
        </w:rPr>
        <w:t>th</w:t>
      </w:r>
      <w:r w:rsidR="00031A78">
        <w:t>. (T</w:t>
      </w:r>
      <w:r>
        <w:t>he national and state dues are</w:t>
      </w:r>
      <w:r w:rsidR="00031A78">
        <w:t xml:space="preserve"> prorated and added to the prorated Local dues to get the annual adjusted amount)</w:t>
      </w:r>
      <w:r>
        <w:t>.</w:t>
      </w:r>
    </w:p>
    <w:p w14:paraId="2B50B4EE" w14:textId="5239DF3C" w:rsidR="006A2396" w:rsidRDefault="006A2396"/>
    <w:p w14:paraId="1135EA4D" w14:textId="77777777" w:rsidR="006A2396" w:rsidRDefault="006A2396"/>
    <w:sectPr w:rsidR="006A2396" w:rsidSect="00EF070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BD58" w14:textId="77777777" w:rsidR="00B43E4A" w:rsidRDefault="00B43E4A" w:rsidP="00852DB5">
      <w:r>
        <w:separator/>
      </w:r>
    </w:p>
  </w:endnote>
  <w:endnote w:type="continuationSeparator" w:id="0">
    <w:p w14:paraId="1454CB6C" w14:textId="77777777" w:rsidR="00B43E4A" w:rsidRDefault="00B43E4A" w:rsidP="0085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0EA1" w14:textId="4160AFA0" w:rsidR="00852DB5" w:rsidRDefault="00852DB5">
    <w:pPr>
      <w:pStyle w:val="Footer"/>
    </w:pPr>
    <w:r>
      <w:tab/>
    </w:r>
    <w:r>
      <w:tab/>
    </w:r>
    <w:r>
      <w:tab/>
    </w:r>
    <w:r>
      <w:tab/>
    </w:r>
    <w:r>
      <w:tab/>
    </w:r>
    <w:r>
      <w:tab/>
      <w:t>Revised 8/15/19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637F0" w14:textId="77777777" w:rsidR="00B43E4A" w:rsidRDefault="00B43E4A" w:rsidP="00852DB5">
      <w:r>
        <w:separator/>
      </w:r>
    </w:p>
  </w:footnote>
  <w:footnote w:type="continuationSeparator" w:id="0">
    <w:p w14:paraId="703F716B" w14:textId="77777777" w:rsidR="00B43E4A" w:rsidRDefault="00B43E4A" w:rsidP="0085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01"/>
    <w:rsid w:val="00031A78"/>
    <w:rsid w:val="000D58F4"/>
    <w:rsid w:val="00172297"/>
    <w:rsid w:val="001D7A05"/>
    <w:rsid w:val="0020040E"/>
    <w:rsid w:val="00203CA2"/>
    <w:rsid w:val="0026020F"/>
    <w:rsid w:val="00266BFC"/>
    <w:rsid w:val="0027483D"/>
    <w:rsid w:val="00343886"/>
    <w:rsid w:val="00401DA6"/>
    <w:rsid w:val="004F6A82"/>
    <w:rsid w:val="00537799"/>
    <w:rsid w:val="00622A89"/>
    <w:rsid w:val="006A2396"/>
    <w:rsid w:val="00765D94"/>
    <w:rsid w:val="00830ABF"/>
    <w:rsid w:val="0084621A"/>
    <w:rsid w:val="00852DB5"/>
    <w:rsid w:val="0093199E"/>
    <w:rsid w:val="009D601F"/>
    <w:rsid w:val="009F5F41"/>
    <w:rsid w:val="00A05A1E"/>
    <w:rsid w:val="00A17137"/>
    <w:rsid w:val="00A24774"/>
    <w:rsid w:val="00B059F6"/>
    <w:rsid w:val="00B3257B"/>
    <w:rsid w:val="00B43E4A"/>
    <w:rsid w:val="00B6334B"/>
    <w:rsid w:val="00BC0DC8"/>
    <w:rsid w:val="00C2235F"/>
    <w:rsid w:val="00C47D56"/>
    <w:rsid w:val="00D35174"/>
    <w:rsid w:val="00DF5702"/>
    <w:rsid w:val="00E177C5"/>
    <w:rsid w:val="00E33120"/>
    <w:rsid w:val="00EF0701"/>
    <w:rsid w:val="00F27F0C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2902"/>
  <w15:chartTrackingRefBased/>
  <w15:docId w15:val="{040178DD-81BC-46CD-BA5F-FAEEFC80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3022-D310-4E39-8FD0-043C3C3D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Membership year:  September 1, 2020 through August 31, 2021 </vt:lpstr>
      <vt:lpstr>2020-21 MEMBERSHIP RATES:</vt:lpstr>
      <vt:lpstr/>
      <vt:lpstr>Dues Deductions: Membership dues are assessed when Intermediate District 287 Pay</vt:lpstr>
      <vt:lpstr/>
      <vt:lpstr>Licensed Member:                                     DUES             NATIONAL  </vt:lpstr>
      <vt:lpstr>Non-Lic. Member:			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Howard</dc:creator>
  <cp:keywords/>
  <dc:description/>
  <cp:lastModifiedBy>A. Howard</cp:lastModifiedBy>
  <cp:revision>24</cp:revision>
  <dcterms:created xsi:type="dcterms:W3CDTF">2020-08-20T00:55:00Z</dcterms:created>
  <dcterms:modified xsi:type="dcterms:W3CDTF">2020-10-01T20:32:00Z</dcterms:modified>
</cp:coreProperties>
</file>